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64" w:before="0" w:after="60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2"/>
        </w:numPr>
        <w:tabs>
          <w:tab w:val="left" w:pos="426" w:leader="none"/>
        </w:tabs>
        <w:spacing w:lineRule="auto" w:line="264" w:before="0" w:after="60"/>
        <w:ind w:left="42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0" w:name="_Hlk51927332"/>
      <w:bookmarkEnd w:id="0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>
      <w:pPr>
        <w:pStyle w:val="ListParagraph"/>
        <w:widowControl/>
        <w:numPr>
          <w:ilvl w:val="0"/>
          <w:numId w:val="14"/>
        </w:numPr>
        <w:spacing w:lineRule="auto" w:line="264" w:before="0" w:after="60"/>
        <w:ind w:left="720" w:right="113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>
      <w:pPr>
        <w:pStyle w:val="ListParagraph"/>
        <w:widowControl/>
        <w:numPr>
          <w:ilvl w:val="0"/>
          <w:numId w:val="14"/>
        </w:numPr>
        <w:spacing w:lineRule="auto" w:line="264" w:before="0" w:after="60"/>
        <w:ind w:left="720" w:right="113" w:hanging="3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>
      <w:pPr>
        <w:pStyle w:val="ListParagraph"/>
        <w:numPr>
          <w:ilvl w:val="1"/>
          <w:numId w:val="14"/>
        </w:numPr>
        <w:spacing w:lineRule="auto" w:line="264" w:before="0" w:after="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>
      <w:pPr>
        <w:pStyle w:val="ListParagraph"/>
        <w:numPr>
          <w:ilvl w:val="1"/>
          <w:numId w:val="14"/>
        </w:numPr>
        <w:spacing w:lineRule="auto" w:line="264" w:before="0" w:after="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>
      <w:pPr>
        <w:pStyle w:val="ListParagraph"/>
        <w:widowControl/>
        <w:numPr>
          <w:ilvl w:val="0"/>
          <w:numId w:val="14"/>
        </w:numPr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3"/>
        </w:numPr>
        <w:tabs>
          <w:tab w:val="left" w:pos="284" w:leader="none"/>
        </w:tabs>
        <w:spacing w:lineRule="auto" w:line="264" w:before="0" w:after="60"/>
        <w:ind w:left="720" w:right="113" w:hanging="3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bookmarkStart w:id="1" w:name="_Hlk51925869"/>
      <w:bookmarkEnd w:id="1"/>
      <w:r>
        <w:rPr>
          <w:rFonts w:eastAsia="Arial" w:cs="Times New Roman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bookmarkStart w:id="2" w:name="_Hlk51942926"/>
      <w:bookmarkEnd w:id="2"/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1717040" cy="234315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2343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0" w:tblpXSpec="" w:tblpY="1" w:tblpYSpec="" w:topFromText="0" w:vertAnchor="text"/>
                              <w:tblW w:w="2704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5"/>
                              <w:gridCol w:w="244"/>
                              <w:gridCol w:w="248"/>
                              <w:gridCol w:w="246"/>
                              <w:gridCol w:w="245"/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  <w:gridCol w:w="24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5.2pt;height:18.45pt;mso-wrap-distance-left:7.05pt;mso-wrap-distance-right:7.05pt;mso-wrap-distance-top:0pt;mso-wrap-distance-bottom:0pt;margin-top:0.05pt;mso-position-vertical-relative:text;margin-left:-5.65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0" w:tblpXSpec="" w:tblpY="1" w:tblpYSpec="" w:topFromText="0" w:vertAnchor="text"/>
                        <w:tblW w:w="2704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5"/>
                        <w:gridCol w:w="244"/>
                        <w:gridCol w:w="248"/>
                        <w:gridCol w:w="246"/>
                        <w:gridCol w:w="245"/>
                        <w:gridCol w:w="246"/>
                        <w:gridCol w:w="246"/>
                        <w:gridCol w:w="246"/>
                        <w:gridCol w:w="246"/>
                        <w:gridCol w:w="246"/>
                        <w:gridCol w:w="24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2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bookmarkStart w:id="3" w:name="_Hlk51936125"/>
      <w:bookmarkEnd w:id="3"/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5"/>
        <w:gridCol w:w="236"/>
        <w:gridCol w:w="283"/>
        <w:gridCol w:w="236"/>
        <w:gridCol w:w="252"/>
        <w:gridCol w:w="236"/>
      </w:tblGrid>
      <w:tr>
        <w:trPr>
          <w:trHeight w:val="257" w:hRule="atLeast"/>
        </w:trPr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4" w:name="_Hlk51943243"/>
      <w:bookmarkEnd w:id="4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5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60"/>
        <w:ind w:left="720" w:right="113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47"/>
        <w:gridCol w:w="348"/>
        <w:gridCol w:w="348"/>
        <w:gridCol w:w="346"/>
        <w:gridCol w:w="348"/>
        <w:gridCol w:w="350"/>
        <w:gridCol w:w="347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9"/>
        <w:gridCol w:w="348"/>
        <w:gridCol w:w="348"/>
        <w:gridCol w:w="348"/>
        <w:gridCol w:w="349"/>
        <w:gridCol w:w="340"/>
      </w:tblGrid>
      <w:tr>
        <w:trPr>
          <w:trHeight w:val="380" w:hRule="atLeast"/>
        </w:trPr>
        <w:tc>
          <w:tcPr>
            <w:tcW w:w="3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5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  <w:tc>
          <w:tcPr>
            <w:tcW w:w="3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0"/>
              <w:ind w:right="113" w:hanging="0"/>
              <w:jc w:val="both"/>
              <w:rPr>
                <w:rFonts w:ascii="Calibri" w:hAnsi="Calibri" w:eastAsia="Calibri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Calibri" w:cs="Times New Roman" w:ascii="Calibri" w:hAnsi="Calibri"/>
                <w:color w:val="000000"/>
                <w:sz w:val="20"/>
                <w:szCs w:val="20"/>
                <w:lang w:eastAsia="pl-PL"/>
                <w14:ligatures w14:val="none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284" w:leader="none"/>
        </w:tabs>
        <w:spacing w:lineRule="auto" w:line="264" w:before="0" w:after="60"/>
        <w:ind w:left="720" w:right="113" w:hanging="3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5080" t="13335" r="11430" b="571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2566" h="219076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5080" t="5715" r="12065" b="13970"/>
                <wp:wrapNone/>
                <wp:docPr id="3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2566" h="219076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  <w:t xml:space="preserve">             wieloosobowe (liczba osób z uwzględnieniem wnioskodawcy: …….)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left" w:pos="284" w:leader="none"/>
        </w:tabs>
        <w:spacing w:lineRule="auto" w:line="264" w:before="0" w:after="60"/>
        <w:ind w:left="720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Start w:id="7" w:name="_Hlk51929668"/>
      <w:bookmarkEnd w:id="7"/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1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720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720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left" w:pos="142" w:leader="none"/>
        </w:tabs>
        <w:spacing w:lineRule="auto" w:line="264" w:before="0" w:after="60"/>
        <w:ind w:left="720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113" w:hanging="0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4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6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84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7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6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7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9">
                <wp:simplePos x="0" y="0"/>
                <wp:positionH relativeFrom="margin">
                  <wp:posOffset>-71755</wp:posOffset>
                </wp:positionH>
                <wp:positionV relativeFrom="paragraph">
                  <wp:posOffset>152400</wp:posOffset>
                </wp:positionV>
                <wp:extent cx="156210" cy="211455"/>
                <wp:effectExtent l="0" t="0" r="0" b="0"/>
                <wp:wrapSquare wrapText="bothSides"/>
                <wp:docPr id="8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24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12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24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0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9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8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bookmarkEnd w:id="8"/>
      <w:r>
        <w:rPr>
          <w:rFonts w:eastAsia="Arial" w:cs="Times New Roman"/>
          <w:color w:val="000000"/>
          <w:sz w:val="20"/>
        </w:rPr>
        <w:t>………………… zł.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84" w:right="0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0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left="284" w:right="0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left="284" w:right="292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>
      <w:pPr>
        <w:pStyle w:val="ListParagraph"/>
        <w:widowControl/>
        <w:numPr>
          <w:ilvl w:val="0"/>
          <w:numId w:val="10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1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10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2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11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0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3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12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210" cy="211455"/>
                <wp:effectExtent l="0" t="0" r="0" b="0"/>
                <wp:wrapSquare wrapText="bothSides"/>
                <wp:docPr id="13" name="Ramka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0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left="426" w:right="0" w:hanging="284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ListParagraph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strike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60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bookmarkEnd w:id="9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bookmarkStart w:id="10" w:name="_Hlk51944056"/>
      <w:bookmarkEnd w:id="10"/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0"/>
          <w:szCs w:val="22"/>
        </w:rPr>
        <w:t xml:space="preserve">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5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4" name="Ramka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XSpec="" w:tblpY="75" w:tblpYSpec="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bookmarkStart w:id="11" w:name="_Hlk5193720455"/>
                                  <w:bookmarkEnd w:id="11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XSpec="" w:tblpY="75" w:tblpYSpec="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bookmarkStart w:id="12" w:name="_Hlk5193720455"/>
                            <w:bookmarkEnd w:id="12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6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5" name="Ramka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XSpec="" w:tblpY="75" w:tblpYSpec="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bookmarkStart w:id="13" w:name="_Hlk5193732353"/>
                                  <w:bookmarkEnd w:id="13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XSpec="" w:tblpY="75" w:tblpYSpec="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bookmarkStart w:id="14" w:name="_Hlk5193732353"/>
                            <w:bookmarkEnd w:id="14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0"/>
        </w:rPr>
      </w:pPr>
      <w:bookmarkStart w:id="15" w:name="_Hlk51937304"/>
      <w:bookmarkEnd w:id="15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bookmarkEnd w:id="16"/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7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6" name="Ramka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XSpec="" w:tblpY="75" w:tblpYSpec="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bookmarkStart w:id="17" w:name="_Hlk5193741051"/>
                                  <w:bookmarkEnd w:id="17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XSpec="" w:tblpY="75" w:tblpYSpec="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bookmarkStart w:id="18" w:name="_Hlk5193741051"/>
                            <w:bookmarkEnd w:id="18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0"/>
        </w:rPr>
      </w:pPr>
      <w:bookmarkStart w:id="19" w:name="_Hlk51937392"/>
      <w:bookmarkEnd w:id="19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1673" w:right="0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20" w:name="_Hlk51937392"/>
      <w:bookmarkStart w:id="21" w:name="_Hlk51937432"/>
      <w:bookmarkEnd w:id="20"/>
      <w:bookmarkEnd w:id="21"/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bookmarkStart w:id="22" w:name="_Hlk51937432"/>
      <w:bookmarkStart w:id="23" w:name="_Hlk51937432"/>
      <w:bookmarkEnd w:id="23"/>
      <w:r>
        <w:rPr>
          <w:rFonts w:eastAsia="Arial" w:cs="Times New Roman"/>
          <w:color w:val="000000"/>
          <w:sz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7" name="Ramka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XSpec="" w:tblpY="75" w:tblpYSpec="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bookmarkStart w:id="24" w:name="_Hlk5193750349"/>
                                  <w:bookmarkEnd w:id="24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XSpec="" w:tblpY="75" w:tblpYSpec="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bookmarkStart w:id="25" w:name="_Hlk5193750349"/>
                            <w:bookmarkEnd w:id="25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57" w:right="0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8" name="Ramka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XSpec="" w:tblpY="75" w:tblpYSpec="" w:topFromText="0" w:vertAnchor="text"/>
                              <w:tblW w:w="278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XSpec="" w:tblpY="75" w:tblpYSpec="" w:topFromText="0" w:vertAnchor="text"/>
                        <w:tblW w:w="278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6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64" w:before="0" w:after="60"/>
        <w:ind w:left="720" w:right="0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720"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0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0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>
      <w:pPr>
        <w:pStyle w:val="Normal"/>
        <w:widowControl/>
        <w:tabs>
          <w:tab w:val="left" w:pos="567" w:leader="none"/>
        </w:tabs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Karta Nauczyciela (Dz.U. z 2023 r. poz. 984, 1234, 1586, 1672 i 2005),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w latach 2003–2006, </w:t>
      </w:r>
    </w:p>
    <w:p>
      <w:pPr>
        <w:pStyle w:val="Normal"/>
        <w:widowControl/>
        <w:tabs>
          <w:tab w:val="left" w:pos="567" w:leader="none"/>
        </w:tabs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left" w:pos="567" w:leader="none"/>
        </w:tabs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left" w:pos="567" w:leader="none"/>
        </w:tabs>
        <w:spacing w:lineRule="auto" w:line="264" w:before="0" w:after="60"/>
        <w:ind w:left="284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>świadczenie pieniężne określone w ustawie z dnia 20 marca 2015 r. o działaczach opozycji antykomunistycznej oraz osobach represjonowanych z powodów politycznych (Dz.U. z 2023 r. poz. 388 i 1641),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6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6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left="567" w:right="0" w:hanging="283"/>
        <w:jc w:val="both"/>
        <w:rPr/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Style w:val="Czeinternetowe"/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60"/>
        <w:ind w:right="0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93" w:right="0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7" w:name="_Hlk51942783"/>
      <w:bookmarkStart w:id="28" w:name="_Hlk51942783"/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b/>
          <w:b/>
          <w:color w:val="000000"/>
          <w:sz w:val="22"/>
          <w:szCs w:val="22"/>
        </w:rPr>
      </w:pPr>
      <w:bookmarkStart w:id="29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9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64" w:before="0" w:after="60"/>
        <w:ind w:right="56" w:hanging="0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bookmarkStart w:id="30" w:name="_Hlk51941988"/>
      <w:bookmarkEnd w:id="30"/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bookmarkStart w:id="31" w:name="_Hlk51941943"/>
      <w:bookmarkEnd w:id="31"/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</w:p>
    <w:tbl>
      <w:tblPr>
        <w:tblW w:w="270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left="257" w:right="0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rPr/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60"/>
        <w:ind w:right="0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sectPr>
      <w:headerReference w:type="default" r:id="rId3"/>
      <w:type w:val="nextPage"/>
      <w:pgSz w:w="11906" w:h="16838"/>
      <w:pgMar w:left="1418" w:right="1434" w:header="709" w:top="1560" w:footer="0" w:bottom="851" w:gutter="0"/>
      <w:pgNumType w:fmt="decimal"/>
      <w:formProt w:val="false"/>
      <w:titlePg/>
      <w:textDirection w:val="lrTb"/>
      <w:docGrid w:type="default" w:linePitch="254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instrText> PAGE </w:instrText>
    </w:r>
    <w:r>
      <w:fldChar w:fldCharType="separate"/>
    </w:r>
    <w:r>
      <w:t>11</w:t>
    </w:r>
    <w:r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2" w:hanging="36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FFFFFF" w:val="clear"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41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13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FFFFFF" w:val="clear"/>
        <w:szCs w:val="18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Nagwek1">
    <w:name w:val="Nagłówek 1"/>
    <w:basedOn w:val="Normal"/>
    <w:link w:val="Nagwek1Znak"/>
    <w:qFormat/>
    <w:rsid w:val="00b60789"/>
    <w:pPr>
      <w:keepNext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Nagłówek 2"/>
    <w:basedOn w:val="Normal"/>
    <w:link w:val="Nagwek2Znak"/>
    <w:qFormat/>
    <w:rsid w:val="00b60789"/>
    <w:pPr>
      <w:keepNext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60789"/>
    <w:rPr>
      <w:rFonts w:ascii="Calibri Light" w:hAnsi="Calibri Light" w:eastAsia="Times New Roman" w:cs="Times New Roman"/>
      <w:color w:val="2F5496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qFormat/>
    <w:rsid w:val="00b60789"/>
    <w:rPr>
      <w:rFonts w:ascii="Calibri Light" w:hAnsi="Calibri Light" w:eastAsia="Times New Roman" w:cs="Times New Roman"/>
      <w:color w:val="2F5496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link w:val="Nagwek"/>
    <w:qFormat/>
    <w:rsid w:val="00b60789"/>
    <w:rPr>
      <w:rFonts w:ascii="Times" w:hAnsi="Times" w:eastAsia="Times New Roman" w:cs="Times New Roman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60789"/>
    <w:rPr>
      <w:rFonts w:ascii="Times New Roman" w:hAnsi="Times New Roman" w:eastAsia="Times New Roman" w:cs="Arial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qFormat/>
    <w:rsid w:val="00b60789"/>
    <w:rPr>
      <w:rFonts w:ascii="Times New Roman" w:hAnsi="Times New Roman" w:eastAsia="Times New Roman" w:cs="Arial"/>
      <w:b/>
      <w:bCs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Tekstdymka"/>
    <w:qFormat/>
    <w:rsid w:val="00b60789"/>
    <w:rPr>
      <w:rFonts w:ascii="Segoe UI" w:hAnsi="Segoe UI" w:eastAsia="Times New Roman" w:cs="Segoe UI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Wyróżnienie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42f6"/>
    <w:rPr>
      <w:rFonts w:ascii="Times New Roman" w:hAnsi="Times New Roman" w:eastAsia="Times New Roman" w:cs="Arial"/>
      <w:sz w:val="24"/>
      <w:szCs w:val="20"/>
      <w:lang w:eastAsia="pl-PL"/>
      <w14:ligatures w14:val="none"/>
    </w:rPr>
  </w:style>
  <w:style w:type="character" w:styleId="Uiprovider" w:customStyle="1">
    <w:name w:val="ui-provider"/>
    <w:basedOn w:val="DefaultParagraphFont"/>
    <w:qFormat/>
    <w:rsid w:val="00ff7292"/>
    <w:rPr/>
  </w:style>
  <w:style w:type="character" w:styleId="ListLabel1">
    <w:name w:val="ListLabel 1"/>
    <w:qFormat/>
    <w:rPr>
      <w:b/>
      <w:sz w:val="22"/>
      <w:szCs w:val="22"/>
    </w:rPr>
  </w:style>
  <w:style w:type="character" w:styleId="ListLabel2">
    <w:name w:val="ListLabel 2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shd w:fill="FFFFFF" w:val="clear"/>
      <w:vertAlign w:val="baseline"/>
    </w:rPr>
  </w:style>
  <w:style w:type="character" w:styleId="ListLabel3">
    <w:name w:val="ListLabel 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shd w:fill="FFFFFF" w:val="clear"/>
      <w:vertAlign w:val="baseline"/>
    </w:rPr>
  </w:style>
  <w:style w:type="character" w:styleId="ListLabel4">
    <w:name w:val="ListLabel 4"/>
    <w:qFormat/>
    <w:rPr>
      <w:vertAlign w:val="superscript"/>
    </w:rPr>
  </w:style>
  <w:style w:type="character" w:styleId="ListLabel5">
    <w:name w:val="ListLabel 5"/>
    <w:qFormat/>
    <w:rPr>
      <w:color w:val="00000A"/>
      <w:sz w:val="20"/>
    </w:rPr>
  </w:style>
  <w:style w:type="character" w:styleId="ListLabel6">
    <w:name w:val="ListLabel 6"/>
    <w:qFormat/>
    <w:rPr>
      <w:b w:val="false"/>
      <w:bCs w:val="false"/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shd w:fill="FFFFFF" w:val="clear"/>
      <w:vertAlign w:val="baseline"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18"/>
      <w:u w:val="none" w:color="000000"/>
      <w:shd w:fill="FFFFFF" w:val="clear"/>
      <w:vertAlign w:val="baseline"/>
    </w:rPr>
  </w:style>
  <w:style w:type="character" w:styleId="ListLabel11">
    <w:name w:val="ListLabel 11"/>
    <w:qFormat/>
    <w:rPr>
      <w:rFonts w:cs="Courier New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Główka"/>
    <w:basedOn w:val="Normal"/>
    <w:link w:val="NagwekZnak"/>
    <w:rsid w:val="00b60789"/>
    <w:pPr>
      <w:tabs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qFormat/>
    <w:rsid w:val="00b60789"/>
    <w:pPr>
      <w:keepNext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qFormat/>
    <w:rsid w:val="00b60789"/>
    <w:pPr>
      <w:keepNext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qFormat/>
    <w:rsid w:val="00b60789"/>
    <w:pPr>
      <w:keepNext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suppressAutoHyphens w:val="true"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/>
      <w:widowControl/>
      <w:spacing w:before="120" w:after="0"/>
      <w:jc w:val="center"/>
    </w:pPr>
    <w:rPr>
      <w:rFonts w:ascii="Times" w:hAnsi="Times"/>
      <w:b/>
      <w:bCs/>
      <w:caps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sz w:val="24"/>
      <w:szCs w:val="20"/>
      <w:lang w:eastAsia="pl-PL" w:val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Stopka"/>
    <w:basedOn w:val="Normal"/>
    <w:link w:val="StopkaZnak"/>
    <w:uiPriority w:val="99"/>
    <w:unhideWhenUsed/>
    <w:rsid w:val="004d42f6"/>
    <w:pPr>
      <w:tabs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LibreOffice/4.4.5.2$Windows_x86 LibreOffice_project/a22f674fd25a3b6f45bdebf25400ed2adff0ff99</Application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2024-06-05T10:19:00Z</dcterms:created>
  <dc:language>pl-PL</dc:language>
  <dcterms:modified xsi:type="dcterms:W3CDTF">2024-07-17T14:40:30Z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